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4"/>
      </w:tblGrid>
      <w:tr w:rsidR="003C091D" w:rsidRPr="00C53FA3" w14:paraId="11FFB143" w14:textId="77777777">
        <w:trPr>
          <w:trHeight w:val="616"/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20A58DB" w14:textId="733D16C3" w:rsidR="003C091D" w:rsidRPr="00C53FA3" w:rsidRDefault="00257975">
            <w:pPr>
              <w:pStyle w:val="a8"/>
              <w:wordWrap/>
              <w:spacing w:line="240" w:lineRule="auto"/>
              <w:ind w:left="200" w:right="200"/>
              <w:jc w:val="center"/>
              <w:rPr>
                <w:rFonts w:ascii="Times New Roman" w:eastAsiaTheme="minorEastAsia" w:hAnsi="Times New Roman" w:cs="Times New Roman"/>
                <w:sz w:val="48"/>
                <w:szCs w:val="48"/>
              </w:rPr>
            </w:pPr>
            <w:r w:rsidRPr="00C53FA3">
              <w:rPr>
                <w:rFonts w:ascii="Times New Roman" w:eastAsiaTheme="minorEastAsia" w:hAnsi="Times New Roman" w:cs="Times New Roman"/>
                <w:sz w:val="48"/>
                <w:szCs w:val="48"/>
              </w:rPr>
              <w:t>2019-2022</w:t>
            </w:r>
            <w:r w:rsidRPr="00C53FA3">
              <w:rPr>
                <w:rFonts w:ascii="Times New Roman" w:eastAsiaTheme="minorEastAsia" w:hAnsi="Times New Roman" w:cs="Times New Roman"/>
                <w:sz w:val="48"/>
                <w:szCs w:val="48"/>
              </w:rPr>
              <w:t>年外国游客人数统计</w:t>
            </w:r>
          </w:p>
        </w:tc>
      </w:tr>
      <w:tr w:rsidR="003C091D" w:rsidRPr="00C53FA3" w14:paraId="4B2AABBB" w14:textId="77777777">
        <w:trPr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94019CE" w14:textId="77777777" w:rsidR="003C091D" w:rsidRPr="00C53FA3" w:rsidRDefault="003C091D">
            <w:pPr>
              <w:pStyle w:val="a8"/>
              <w:spacing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C091D" w:rsidRPr="00C53FA3" w14:paraId="26C2623D" w14:textId="77777777">
        <w:trPr>
          <w:trHeight w:val="96"/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A400"/>
            <w:vAlign w:val="center"/>
          </w:tcPr>
          <w:p w14:paraId="3F0B121B" w14:textId="77777777" w:rsidR="003C091D" w:rsidRPr="00C53FA3" w:rsidRDefault="003C091D">
            <w:pPr>
              <w:pStyle w:val="21"/>
              <w:spacing w:line="240" w:lineRule="auto"/>
              <w:rPr>
                <w:rFonts w:ascii="Times New Roman" w:eastAsiaTheme="minorEastAsia" w:hAnsi="Times New Roman" w:cs="Times New Roman"/>
                <w:w w:val="100"/>
              </w:rPr>
            </w:pPr>
          </w:p>
        </w:tc>
      </w:tr>
    </w:tbl>
    <w:p w14:paraId="0A3F7C21" w14:textId="77777777" w:rsidR="003C091D" w:rsidRPr="00C53FA3" w:rsidRDefault="003C091D">
      <w:pPr>
        <w:rPr>
          <w:rFonts w:ascii="Times New Roman" w:hAnsi="Times New Roman" w:cs="Times New Roman"/>
          <w:sz w:val="2"/>
        </w:rPr>
      </w:pPr>
    </w:p>
    <w:p w14:paraId="7EA9058B" w14:textId="460781EF" w:rsidR="003C091D" w:rsidRPr="00C53FA3" w:rsidRDefault="00257975">
      <w:pPr>
        <w:pStyle w:val="a8"/>
        <w:wordWrap/>
        <w:spacing w:line="265" w:lineRule="auto"/>
        <w:ind w:left="1350" w:hanging="1350"/>
        <w:jc w:val="right"/>
        <w:rPr>
          <w:rFonts w:ascii="Times New Roman" w:eastAsiaTheme="minorEastAsia" w:hAnsi="Times New Roman" w:cs="Times New Roman"/>
          <w:i/>
          <w:iCs/>
          <w:sz w:val="26"/>
          <w:szCs w:val="26"/>
        </w:rPr>
      </w:pPr>
      <w:r w:rsidRPr="00C53FA3">
        <w:rPr>
          <w:rFonts w:ascii="Times New Roman" w:eastAsiaTheme="minorEastAsia" w:hAnsi="Times New Roman" w:cs="Times New Roman"/>
          <w:i/>
          <w:iCs/>
          <w:sz w:val="26"/>
          <w:szCs w:val="26"/>
        </w:rPr>
        <w:t>首尔观光财团观光研究组</w:t>
      </w:r>
      <w:r w:rsidRPr="00C53FA3">
        <w:rPr>
          <w:rFonts w:ascii="Times New Roman" w:eastAsiaTheme="minorEastAsia" w:hAnsi="Times New Roman" w:cs="Times New Roman"/>
          <w:i/>
          <w:iCs/>
          <w:sz w:val="26"/>
          <w:szCs w:val="26"/>
        </w:rPr>
        <w:t>2023</w:t>
      </w:r>
      <w:r w:rsidRPr="00C53FA3">
        <w:rPr>
          <w:rFonts w:ascii="Times New Roman" w:eastAsiaTheme="minorEastAsia" w:hAnsi="Times New Roman" w:cs="Times New Roman"/>
          <w:i/>
          <w:iCs/>
          <w:sz w:val="26"/>
          <w:szCs w:val="26"/>
        </w:rPr>
        <w:t>年</w:t>
      </w:r>
      <w:r w:rsidRPr="00C53FA3">
        <w:rPr>
          <w:rFonts w:ascii="Times New Roman" w:eastAsiaTheme="minorEastAsia" w:hAnsi="Times New Roman" w:cs="Times New Roman"/>
          <w:i/>
          <w:iCs/>
          <w:sz w:val="26"/>
          <w:szCs w:val="26"/>
        </w:rPr>
        <w:t>4</w:t>
      </w:r>
      <w:r w:rsidRPr="00C53FA3">
        <w:rPr>
          <w:rFonts w:ascii="Times New Roman" w:eastAsiaTheme="minorEastAsia" w:hAnsi="Times New Roman" w:cs="Times New Roman"/>
          <w:i/>
          <w:iCs/>
          <w:sz w:val="26"/>
          <w:szCs w:val="26"/>
        </w:rPr>
        <w:t>月</w:t>
      </w:r>
      <w:r w:rsidRPr="00C53FA3">
        <w:rPr>
          <w:rFonts w:ascii="Times New Roman" w:eastAsiaTheme="minorEastAsia" w:hAnsi="Times New Roman" w:cs="Times New Roman"/>
          <w:i/>
          <w:iCs/>
          <w:sz w:val="26"/>
          <w:szCs w:val="26"/>
        </w:rPr>
        <w:t>4</w:t>
      </w:r>
      <w:r w:rsidRPr="00C53FA3">
        <w:rPr>
          <w:rFonts w:ascii="Times New Roman" w:eastAsiaTheme="minorEastAsia" w:hAnsi="Times New Roman" w:cs="Times New Roman"/>
          <w:i/>
          <w:iCs/>
          <w:sz w:val="26"/>
          <w:szCs w:val="26"/>
        </w:rPr>
        <w:t>日（周二）</w:t>
      </w:r>
    </w:p>
    <w:p w14:paraId="3546A82C" w14:textId="77777777" w:rsidR="003C091D" w:rsidRPr="00C53FA3" w:rsidRDefault="003C091D">
      <w:pPr>
        <w:pStyle w:val="a8"/>
        <w:wordWrap/>
        <w:jc w:val="right"/>
        <w:rPr>
          <w:rFonts w:ascii="Times New Roman" w:eastAsiaTheme="minorEastAsia" w:hAnsi="Times New Roman" w:cs="Times New Roman"/>
          <w:i/>
          <w:iCs/>
          <w:sz w:val="10"/>
          <w:szCs w:val="10"/>
        </w:rPr>
      </w:pPr>
    </w:p>
    <w:p w14:paraId="72AE716E" w14:textId="77777777" w:rsidR="003C091D" w:rsidRPr="00C53FA3" w:rsidRDefault="003C091D">
      <w:pPr>
        <w:pStyle w:val="a8"/>
        <w:spacing w:line="240" w:lineRule="auto"/>
        <w:ind w:left="2536" w:hanging="2536"/>
        <w:rPr>
          <w:rFonts w:ascii="Times New Roman" w:eastAsiaTheme="minorEastAsia" w:hAnsi="Times New Roman" w:cs="Times New Roman"/>
          <w:sz w:val="10"/>
          <w:szCs w:val="10"/>
        </w:rPr>
      </w:pPr>
    </w:p>
    <w:p w14:paraId="294273CF" w14:textId="0BD33C3D" w:rsidR="003C091D" w:rsidRPr="00C53FA3" w:rsidRDefault="00257975">
      <w:pPr>
        <w:pStyle w:val="a8"/>
        <w:wordWrap/>
        <w:spacing w:line="240" w:lineRule="auto"/>
        <w:ind w:left="720" w:hanging="720"/>
        <w:jc w:val="left"/>
        <w:rPr>
          <w:rFonts w:ascii="Times New Roman" w:eastAsiaTheme="minorEastAsia" w:hAnsi="Times New Roman" w:cs="Times New Roman"/>
          <w:sz w:val="30"/>
          <w:szCs w:val="30"/>
        </w:rPr>
      </w:pPr>
      <w:r w:rsidRPr="00C53FA3">
        <w:rPr>
          <w:rFonts w:ascii="Times New Roman" w:eastAsiaTheme="minorEastAsia" w:hAnsi="Times New Roman" w:cs="Times New Roman"/>
          <w:sz w:val="30"/>
          <w:szCs w:val="30"/>
        </w:rPr>
        <w:t xml:space="preserve">○ </w:t>
      </w:r>
      <w:r w:rsidRPr="00C53FA3">
        <w:rPr>
          <w:rFonts w:ascii="Times New Roman" w:eastAsiaTheme="minorEastAsia" w:hAnsi="Times New Roman" w:cs="Times New Roman"/>
          <w:sz w:val="30"/>
          <w:szCs w:val="30"/>
        </w:rPr>
        <w:t>韩国外国游客人数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494"/>
        <w:gridCol w:w="1494"/>
        <w:gridCol w:w="1494"/>
        <w:gridCol w:w="1494"/>
        <w:gridCol w:w="1494"/>
        <w:gridCol w:w="1494"/>
      </w:tblGrid>
      <w:tr w:rsidR="003C091D" w:rsidRPr="00C53FA3" w14:paraId="21BD471D" w14:textId="77777777" w:rsidTr="00AA437A">
        <w:trPr>
          <w:trHeight w:val="283"/>
        </w:trPr>
        <w:tc>
          <w:tcPr>
            <w:tcW w:w="658" w:type="dxa"/>
            <w:tcBorders>
              <w:top w:val="single" w:sz="12" w:space="0" w:color="000000"/>
              <w:left w:val="nil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7561A6EF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分类</w:t>
            </w:r>
          </w:p>
        </w:tc>
        <w:tc>
          <w:tcPr>
            <w:tcW w:w="1494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4E1DC1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5D84390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4A4CBF8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131CF13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6B10FD1" w14:textId="62A66F5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与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年相比，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增长率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2E8AE699" w14:textId="73C5C354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与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年相比，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增长率</w:t>
            </w:r>
          </w:p>
        </w:tc>
      </w:tr>
      <w:tr w:rsidR="003C091D" w:rsidRPr="00C53FA3" w14:paraId="051B9A05" w14:textId="77777777" w:rsidTr="00AA437A">
        <w:trPr>
          <w:trHeight w:val="283"/>
        </w:trPr>
        <w:tc>
          <w:tcPr>
            <w:tcW w:w="658" w:type="dxa"/>
            <w:tcBorders>
              <w:top w:val="doub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55DDA9B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2C98598E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1,104,803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6BB07021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1,272,708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6ACA9021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58,397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0842C9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81,851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F72283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C53FA3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C53FA3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95.4%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76F3E16A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40.2%</w:t>
            </w:r>
          </w:p>
        </w:tc>
      </w:tr>
      <w:tr w:rsidR="003C091D" w:rsidRPr="00C53FA3" w14:paraId="12ED3A2D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EF064B2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53C0F4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1,201,802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1E24A3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685,212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704C71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65,582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3172FA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99,999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14B82F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C53FA3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C53FA3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90.4%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7EEADB55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52.5%</w:t>
            </w:r>
          </w:p>
        </w:tc>
      </w:tr>
      <w:tr w:rsidR="003C091D" w:rsidRPr="00C53FA3" w14:paraId="4D0BCBF3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1DD9236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3EEE7F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1,535,641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503F8D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83,497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A2CDA7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74,604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B859CF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96,768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5A2162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C53FA3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C53FA3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10.7%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75BF7581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29.7%</w:t>
            </w:r>
          </w:p>
        </w:tc>
      </w:tr>
      <w:tr w:rsidR="003C091D" w:rsidRPr="00C53FA3" w14:paraId="07A765C8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89C0D4E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B755FB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1,635,066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6A6690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29,415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ED56D7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70,112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29363F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127,919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12D4F3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138.4%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2801B63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82.4%</w:t>
            </w:r>
          </w:p>
        </w:tc>
      </w:tr>
      <w:tr w:rsidR="003C091D" w:rsidRPr="00C53FA3" w14:paraId="1F28C18F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BF861B5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C92221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1,485,684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2F1E2F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30,806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A5D4E1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74,463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E4937A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175,922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FAA410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141.7%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874AD4A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136.3%</w:t>
            </w:r>
          </w:p>
        </w:tc>
      </w:tr>
      <w:tr w:rsidR="003C091D" w:rsidRPr="00C53FA3" w14:paraId="19A8E1D0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9963DF9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D46E0C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1,476,218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8E8E1C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36,938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EEBA84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77,029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761478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227,713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FC3A7A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108.5%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65C2FF8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195.6%</w:t>
            </w:r>
          </w:p>
        </w:tc>
      </w:tr>
      <w:tr w:rsidR="003C091D" w:rsidRPr="00C53FA3" w14:paraId="1BD0D3F7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EEB9C2F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D3BD0C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1,448,067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084681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61,012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85B833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83,005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F8679A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263,986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AB4827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36.0%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7EFBC566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218.0%</w:t>
            </w:r>
          </w:p>
        </w:tc>
      </w:tr>
      <w:tr w:rsidR="003C091D" w:rsidRPr="00C53FA3" w14:paraId="5011FDE9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5607296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18C5C0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1,586,299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6727BF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68,797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6CB1CA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97,087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D5F55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310,945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6F2E9F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41.1%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25C7570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220.3%</w:t>
            </w:r>
          </w:p>
        </w:tc>
      </w:tr>
      <w:tr w:rsidR="003C091D" w:rsidRPr="00C53FA3" w14:paraId="1173148F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D46C4A3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F277C1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1,459,664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E91F73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65,040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684DD4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89,800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7E89B1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337,638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7536AC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38.1%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3CBF497D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276.0%</w:t>
            </w:r>
          </w:p>
        </w:tc>
      </w:tr>
      <w:tr w:rsidR="003C091D" w:rsidRPr="00C53FA3" w14:paraId="2A400E0A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6E864C1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6DF970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1,656,195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06EF71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61,585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1C8CE8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92,416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56655E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476,097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7B8CC1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50.1%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64D3BE80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415.2%</w:t>
            </w:r>
          </w:p>
        </w:tc>
      </w:tr>
      <w:tr w:rsidR="003C091D" w:rsidRPr="00C53FA3" w14:paraId="7F3FB438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66771CB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85629E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1,456,429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253A91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61,764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448731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94,358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035DAF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459,906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2DD838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52.8%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DCCA76D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387.4%</w:t>
            </w:r>
          </w:p>
        </w:tc>
      </w:tr>
      <w:tr w:rsidR="003C091D" w:rsidRPr="00C53FA3" w14:paraId="50AC282C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9F1CE51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3" w:space="0" w:color="000000"/>
              <w:left w:val="double" w:sz="4" w:space="0" w:color="auto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84CA92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1,456,888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5C3860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62,344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EBA5F4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90,150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4A247C" w14:textId="77777777" w:rsidR="003C091D" w:rsidRPr="00C53FA3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539,273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666E49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44.6%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BA193B4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498.2%</w:t>
            </w:r>
          </w:p>
        </w:tc>
      </w:tr>
      <w:tr w:rsidR="003C091D" w:rsidRPr="00C53FA3" w14:paraId="5DD52003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78DFA45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494" w:type="dxa"/>
            <w:tcBorders>
              <w:top w:val="single" w:sz="13" w:space="0" w:color="000000"/>
              <w:left w:val="double" w:sz="4" w:space="0" w:color="auto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C7248D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17,502,756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1ED1F5E3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2,519,118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77D2D5EF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967,003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6E66352C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3,198,017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6212C2DB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C53FA3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C53FA3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61.6%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none" w:sz="0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04CA3EBA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230.7%</w:t>
            </w:r>
          </w:p>
        </w:tc>
      </w:tr>
    </w:tbl>
    <w:p w14:paraId="543A0701" w14:textId="77777777" w:rsidR="003C091D" w:rsidRPr="00C53FA3" w:rsidRDefault="003C091D">
      <w:pPr>
        <w:rPr>
          <w:rFonts w:ascii="Times New Roman" w:hAnsi="Times New Roman" w:cs="Times New Roman"/>
          <w:sz w:val="2"/>
        </w:rPr>
      </w:pPr>
    </w:p>
    <w:p w14:paraId="284FD2D0" w14:textId="77777777" w:rsidR="003C091D" w:rsidRPr="00C53FA3" w:rsidRDefault="003C091D">
      <w:pPr>
        <w:pStyle w:val="a8"/>
        <w:wordWrap/>
        <w:snapToGrid w:val="0"/>
        <w:spacing w:line="240" w:lineRule="auto"/>
        <w:ind w:left="636" w:hanging="636"/>
        <w:jc w:val="left"/>
        <w:rPr>
          <w:rFonts w:ascii="Times New Roman" w:eastAsiaTheme="minorEastAsia" w:hAnsi="Times New Roman" w:cs="Times New Roman"/>
          <w:sz w:val="10"/>
          <w:szCs w:val="10"/>
        </w:rPr>
      </w:pPr>
    </w:p>
    <w:p w14:paraId="1957436A" w14:textId="0DAA5272" w:rsidR="003C091D" w:rsidRPr="00C53FA3" w:rsidRDefault="00257975">
      <w:pPr>
        <w:pStyle w:val="a8"/>
        <w:wordWrap/>
        <w:spacing w:line="240" w:lineRule="auto"/>
        <w:ind w:left="720" w:hanging="720"/>
        <w:jc w:val="left"/>
        <w:rPr>
          <w:rFonts w:ascii="Times New Roman" w:eastAsiaTheme="minorEastAsia" w:hAnsi="Times New Roman" w:cs="Times New Roman"/>
          <w:sz w:val="30"/>
          <w:szCs w:val="30"/>
        </w:rPr>
      </w:pPr>
      <w:r w:rsidRPr="00C53FA3">
        <w:rPr>
          <w:rFonts w:ascii="Times New Roman" w:eastAsiaTheme="minorEastAsia" w:hAnsi="Times New Roman" w:cs="Times New Roman"/>
          <w:sz w:val="30"/>
          <w:szCs w:val="30"/>
        </w:rPr>
        <w:t xml:space="preserve">○ </w:t>
      </w:r>
      <w:r w:rsidRPr="00C53FA3">
        <w:rPr>
          <w:rFonts w:ascii="Times New Roman" w:eastAsiaTheme="minorEastAsia" w:hAnsi="Times New Roman" w:cs="Times New Roman"/>
          <w:sz w:val="30"/>
          <w:szCs w:val="30"/>
        </w:rPr>
        <w:t>首尔外国游客人数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9"/>
        <w:gridCol w:w="1409"/>
        <w:gridCol w:w="1409"/>
        <w:gridCol w:w="1523"/>
        <w:gridCol w:w="1296"/>
        <w:gridCol w:w="1409"/>
      </w:tblGrid>
      <w:tr w:rsidR="003C091D" w:rsidRPr="00C53FA3" w14:paraId="67E20019" w14:textId="77777777" w:rsidTr="00806344">
        <w:trPr>
          <w:trHeight w:val="283"/>
        </w:trPr>
        <w:tc>
          <w:tcPr>
            <w:tcW w:w="1168" w:type="dxa"/>
            <w:tcBorders>
              <w:top w:val="single" w:sz="12" w:space="0" w:color="000000"/>
              <w:left w:val="nil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43C208C8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分类</w:t>
            </w:r>
          </w:p>
        </w:tc>
        <w:tc>
          <w:tcPr>
            <w:tcW w:w="1409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5D7C13E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2019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11D202B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567F7C0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0984A54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84E6629" w14:textId="1F2C2183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与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2020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年相比，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增长率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613275E7" w14:textId="72E1A024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与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年相比，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2022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年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br/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增长率</w:t>
            </w:r>
          </w:p>
        </w:tc>
      </w:tr>
      <w:tr w:rsidR="003C091D" w:rsidRPr="00C53FA3" w14:paraId="3A0DDE9F" w14:textId="77777777" w:rsidTr="00806344">
        <w:trPr>
          <w:trHeight w:val="283"/>
        </w:trPr>
        <w:tc>
          <w:tcPr>
            <w:tcW w:w="11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642AAF79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访问首尔的比率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49AA07A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76.4%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B0B5B43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47.2%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DB8E53F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57.7%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93F5571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57.7%*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DBD8254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4A3DA5C9" w14:textId="77777777" w:rsidR="003C091D" w:rsidRPr="00C53FA3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</w:tr>
      <w:tr w:rsidR="003C091D" w:rsidRPr="00C53FA3" w14:paraId="5C762250" w14:textId="77777777" w:rsidTr="00806344">
        <w:trPr>
          <w:trHeight w:val="283"/>
        </w:trPr>
        <w:tc>
          <w:tcPr>
            <w:tcW w:w="1168" w:type="dxa"/>
            <w:tcBorders>
              <w:top w:val="double" w:sz="4" w:space="0" w:color="auto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412241FE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5A4A8B02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844,069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78C3AE7B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600,718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06098DF6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33,695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97D1C9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47,228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57E76E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C53FA3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C53FA3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95.4%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55657E2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40.2%</w:t>
            </w:r>
          </w:p>
        </w:tc>
      </w:tr>
      <w:tr w:rsidR="003C091D" w:rsidRPr="00C53FA3" w14:paraId="2BB6B347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3B0F2D28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44260E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918,177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74CEB6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323,420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2AFDF9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37,841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5E1BD6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57,699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5ECD89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C53FA3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C53FA3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90.4%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39FFF715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52.5%</w:t>
            </w:r>
          </w:p>
        </w:tc>
      </w:tr>
      <w:tr w:rsidR="003C091D" w:rsidRPr="00C53FA3" w14:paraId="522D1D4D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1B086BAF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17D797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1,173,230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B68C7B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39,411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380F3F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43,047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AD9F15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55,835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BCAF23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C53FA3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C53FA3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10.7%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197A8A2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29.7%</w:t>
            </w:r>
          </w:p>
        </w:tc>
      </w:tr>
      <w:tr w:rsidR="003C091D" w:rsidRPr="00C53FA3" w14:paraId="30B41667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27C9F3A2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944D78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1,249,190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6CB03D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13,884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B1DE1C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40,455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A2E317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73,809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EEBA33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138.4%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76A365B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82.4%</w:t>
            </w:r>
          </w:p>
        </w:tc>
      </w:tr>
      <w:tr w:rsidR="003C091D" w:rsidRPr="00C53FA3" w14:paraId="0434C314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7CC42FD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32A805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1,135,063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64A5EE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14,540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3E5455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42,965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36158C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101,507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E57F71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141.7%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1E56D4F7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136.3%</w:t>
            </w:r>
          </w:p>
        </w:tc>
      </w:tr>
      <w:tr w:rsidR="003C091D" w:rsidRPr="00C53FA3" w14:paraId="15012DBE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772C8458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DE1903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1,127,831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723113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17,435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D18D74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44,446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2C8D08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131,390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2B4957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108.5%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4A97BDA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195.6%</w:t>
            </w:r>
          </w:p>
        </w:tc>
      </w:tr>
      <w:tr w:rsidR="003C091D" w:rsidRPr="00C53FA3" w14:paraId="33E682D9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694499CD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CD4E21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1,106,323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3AF6BE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28,798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18BE0C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47,894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3FC933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152,320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16604E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36.0%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46793B58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218.0%</w:t>
            </w:r>
          </w:p>
        </w:tc>
      </w:tr>
      <w:tr w:rsidR="003C091D" w:rsidRPr="00C53FA3" w14:paraId="5982AF84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2D369D8B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46A7C1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1,211,932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9E4AD0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32,472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A8F424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56,019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AAD61B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179,415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E49929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41.1%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13D47B16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220.3%</w:t>
            </w:r>
          </w:p>
        </w:tc>
      </w:tr>
      <w:tr w:rsidR="003C091D" w:rsidRPr="00C53FA3" w14:paraId="013C4F11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5944175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9FEB90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1,115,183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1CC6C8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30,699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02CDD4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51,815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9F42CA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194,817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D21421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38.1%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145AFA2D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276.0%</w:t>
            </w:r>
          </w:p>
        </w:tc>
      </w:tr>
      <w:tr w:rsidR="003C091D" w:rsidRPr="00C53FA3" w14:paraId="11D0705D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1B1F3EE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E7A025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1,265,333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F770A3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29,068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A8E974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53,324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10ED3A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274,708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69C9D3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50.1%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417071F4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415.2%</w:t>
            </w:r>
          </w:p>
        </w:tc>
      </w:tr>
      <w:tr w:rsidR="003C091D" w:rsidRPr="00C53FA3" w14:paraId="6B3F69FC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47367A5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5BDFD5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1,112,712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A6E5BE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29,153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C86B10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54,445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C011C5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265,366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765496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52.8%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3A97C3CD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387.4%</w:t>
            </w:r>
          </w:p>
        </w:tc>
      </w:tr>
      <w:tr w:rsidR="003C091D" w:rsidRPr="00C53FA3" w14:paraId="4D56970D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13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7AD1D291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3" w:space="0" w:color="000000"/>
              <w:left w:val="double" w:sz="4" w:space="0" w:color="auto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8805C7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1,113,062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527BEF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29,426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695518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52,017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F24852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311,161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CD3A04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44.6%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237AF8E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498.2%</w:t>
            </w:r>
          </w:p>
        </w:tc>
      </w:tr>
      <w:tr w:rsidR="003C091D" w:rsidRPr="00C53FA3" w14:paraId="35002802" w14:textId="77777777" w:rsidTr="00806344">
        <w:trPr>
          <w:trHeight w:val="283"/>
        </w:trPr>
        <w:tc>
          <w:tcPr>
            <w:tcW w:w="1168" w:type="dxa"/>
            <w:tcBorders>
              <w:top w:val="single" w:sz="13" w:space="0" w:color="000000"/>
              <w:left w:val="none" w:sz="0" w:space="0" w:color="000000"/>
              <w:bottom w:val="single" w:sz="18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DEDBDF8" w14:textId="77777777" w:rsidR="003C091D" w:rsidRPr="00C53FA3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1409" w:type="dxa"/>
            <w:tcBorders>
              <w:top w:val="single" w:sz="13" w:space="0" w:color="000000"/>
              <w:left w:val="double" w:sz="4" w:space="0" w:color="auto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9D8A50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13,372,106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5AD01A3E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1,189,024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7C8BAE09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557,963</w:t>
            </w:r>
          </w:p>
        </w:tc>
        <w:tc>
          <w:tcPr>
            <w:tcW w:w="1523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15A09698" w14:textId="77777777" w:rsidR="003C091D" w:rsidRPr="00C53FA3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1,845,256</w:t>
            </w:r>
          </w:p>
        </w:tc>
        <w:tc>
          <w:tcPr>
            <w:tcW w:w="1296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4CBDFA7E" w14:textId="77777777" w:rsidR="003C091D" w:rsidRPr="00C53FA3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 w:rsidRPr="00C53FA3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C53FA3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61.6%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none" w:sz="0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2F3F933C" w14:textId="77777777" w:rsidR="003C091D" w:rsidRPr="00C53FA3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53FA3">
              <w:rPr>
                <w:rFonts w:ascii="Times New Roman" w:eastAsiaTheme="minorEastAsia" w:hAnsi="Times New Roman" w:cs="Times New Roman"/>
                <w:sz w:val="18"/>
                <w:szCs w:val="18"/>
              </w:rPr>
              <w:t>230.7%</w:t>
            </w:r>
          </w:p>
        </w:tc>
      </w:tr>
    </w:tbl>
    <w:p w14:paraId="620BABF1" w14:textId="77777777" w:rsidR="003C091D" w:rsidRPr="00C53FA3" w:rsidRDefault="003C091D">
      <w:pPr>
        <w:rPr>
          <w:rFonts w:ascii="Times New Roman" w:hAnsi="Times New Roman" w:cs="Times New Roman"/>
          <w:sz w:val="2"/>
        </w:rPr>
      </w:pPr>
    </w:p>
    <w:p w14:paraId="70702F8C" w14:textId="77777777" w:rsidR="003C091D" w:rsidRPr="00C53FA3" w:rsidRDefault="00257975">
      <w:pPr>
        <w:pStyle w:val="a8"/>
        <w:wordWrap/>
        <w:snapToGrid w:val="0"/>
        <w:spacing w:line="240" w:lineRule="auto"/>
        <w:ind w:left="636" w:hanging="636"/>
        <w:jc w:val="left"/>
        <w:rPr>
          <w:rFonts w:ascii="Times New Roman" w:eastAsiaTheme="minorEastAsia" w:hAnsi="Times New Roman" w:cs="Times New Roman"/>
          <w:shd w:val="clear" w:color="auto" w:fill="FFFFFF"/>
        </w:rPr>
      </w:pPr>
      <w:r w:rsidRPr="00C53FA3">
        <w:rPr>
          <w:rFonts w:ascii="Times New Roman" w:eastAsiaTheme="minorEastAsia" w:hAnsi="Times New Roman" w:cs="Times New Roman"/>
          <w:shd w:val="clear" w:color="auto" w:fill="FFFFFF"/>
        </w:rPr>
        <w:t>资料：旅游知识信息系统</w:t>
      </w:r>
      <w:r w:rsidRPr="00C53FA3">
        <w:rPr>
          <w:rFonts w:ascii="Times New Roman" w:eastAsiaTheme="minorEastAsia" w:hAnsi="Times New Roman" w:cs="Times New Roman"/>
          <w:shd w:val="clear" w:color="auto" w:fill="FFFFFF"/>
        </w:rPr>
        <w:t>(</w:t>
      </w:r>
      <w:hyperlink r:id="rId7" w:history="1">
        <w:r w:rsidRPr="00C53FA3">
          <w:rPr>
            <w:rFonts w:ascii="Times New Roman" w:eastAsiaTheme="minorEastAsia" w:hAnsi="Times New Roman" w:cs="Times New Roman"/>
            <w:color w:val="0000FF"/>
            <w:u w:val="single" w:color="0000FF"/>
            <w:shd w:val="clear" w:color="auto" w:fill="FFFFFF"/>
          </w:rPr>
          <w:t>http://www.tour.go.kr/)</w:t>
        </w:r>
      </w:hyperlink>
    </w:p>
    <w:p w14:paraId="29C277FB" w14:textId="55ECB7D6" w:rsidR="003C091D" w:rsidRPr="00C53FA3" w:rsidRDefault="00257975" w:rsidP="00806344">
      <w:pPr>
        <w:pStyle w:val="a8"/>
        <w:wordWrap/>
        <w:snapToGrid w:val="0"/>
        <w:spacing w:line="240" w:lineRule="auto"/>
        <w:ind w:leftChars="71" w:left="142"/>
        <w:jc w:val="left"/>
        <w:rPr>
          <w:rFonts w:ascii="Times New Roman" w:eastAsiaTheme="minorEastAsia" w:hAnsi="Times New Roman" w:cs="Times New Roman"/>
          <w:shd w:val="clear" w:color="auto" w:fill="FFFFFF"/>
        </w:rPr>
      </w:pPr>
      <w:r w:rsidRPr="00C53FA3">
        <w:rPr>
          <w:rFonts w:ascii="Times New Roman" w:eastAsiaTheme="minorEastAsia" w:hAnsi="Times New Roman" w:cs="Times New Roman"/>
          <w:shd w:val="clear" w:color="auto" w:fill="FFFFFF"/>
        </w:rPr>
        <w:t xml:space="preserve">* </w:t>
      </w:r>
      <w:r w:rsidRPr="00C53FA3">
        <w:rPr>
          <w:rFonts w:ascii="Times New Roman" w:eastAsiaTheme="minorEastAsia" w:hAnsi="Times New Roman" w:cs="Times New Roman"/>
          <w:shd w:val="clear" w:color="auto" w:fill="FFFFFF"/>
        </w:rPr>
        <w:t>首尔外国游客人数是根据韩国外国游客人数与访问首尔的比率（</w:t>
      </w:r>
      <w:r w:rsidRPr="00C53FA3">
        <w:rPr>
          <w:rFonts w:ascii="Times New Roman" w:eastAsiaTheme="minorEastAsia" w:hAnsi="Times New Roman" w:cs="Times New Roman"/>
          <w:shd w:val="clear" w:color="auto" w:fill="FFFFFF"/>
        </w:rPr>
        <w:t>2021</w:t>
      </w:r>
      <w:r w:rsidRPr="00C53FA3">
        <w:rPr>
          <w:rFonts w:ascii="Times New Roman" w:eastAsiaTheme="minorEastAsia" w:hAnsi="Times New Roman" w:cs="Times New Roman"/>
          <w:shd w:val="clear" w:color="auto" w:fill="FFFFFF"/>
        </w:rPr>
        <w:t>年度外国游客调查）计算出的估值</w:t>
      </w:r>
    </w:p>
    <w:p w14:paraId="4F162C0B" w14:textId="14521D9C" w:rsidR="00C53FA3" w:rsidRPr="006B3CA5" w:rsidRDefault="00257975" w:rsidP="006B3CA5">
      <w:pPr>
        <w:pStyle w:val="a8"/>
        <w:wordWrap/>
        <w:snapToGrid w:val="0"/>
        <w:spacing w:line="265" w:lineRule="auto"/>
        <w:ind w:leftChars="71" w:left="142"/>
        <w:jc w:val="left"/>
        <w:rPr>
          <w:rFonts w:ascii="Times New Roman" w:eastAsiaTheme="minorEastAsia" w:hAnsi="Times New Roman" w:cs="Times New Roman" w:hint="eastAsia"/>
        </w:rPr>
      </w:pPr>
      <w:r w:rsidRPr="00C53FA3">
        <w:rPr>
          <w:rFonts w:ascii="Times New Roman" w:eastAsiaTheme="minorEastAsia" w:hAnsi="Times New Roman" w:cs="Times New Roman"/>
        </w:rPr>
        <w:t>* 2022</w:t>
      </w:r>
      <w:r w:rsidRPr="00C53FA3">
        <w:rPr>
          <w:rFonts w:ascii="Times New Roman" w:eastAsiaTheme="minorEastAsia" w:hAnsi="Times New Roman" w:cs="Times New Roman"/>
        </w:rPr>
        <w:t>年访问首尔的比率使用</w:t>
      </w:r>
      <w:r w:rsidRPr="00C53FA3">
        <w:rPr>
          <w:rFonts w:ascii="Times New Roman" w:eastAsiaTheme="minorEastAsia" w:hAnsi="Times New Roman" w:cs="Times New Roman"/>
        </w:rPr>
        <w:t>2021</w:t>
      </w:r>
      <w:r w:rsidRPr="00C53FA3">
        <w:rPr>
          <w:rFonts w:ascii="Times New Roman" w:eastAsiaTheme="minorEastAsia" w:hAnsi="Times New Roman" w:cs="Times New Roman"/>
        </w:rPr>
        <w:t>年的数值（</w:t>
      </w:r>
      <w:r w:rsidRPr="00C53FA3">
        <w:rPr>
          <w:rFonts w:ascii="Times New Roman" w:eastAsiaTheme="minorEastAsia" w:hAnsi="Times New Roman" w:cs="Times New Roman"/>
        </w:rPr>
        <w:t>2022</w:t>
      </w:r>
      <w:r w:rsidRPr="00C53FA3">
        <w:rPr>
          <w:rFonts w:ascii="Times New Roman" w:eastAsiaTheme="minorEastAsia" w:hAnsi="Times New Roman" w:cs="Times New Roman"/>
        </w:rPr>
        <w:t>年访问首尔的比率尚未公布）</w:t>
      </w:r>
      <w:bookmarkStart w:id="0" w:name="_GoBack"/>
      <w:bookmarkEnd w:id="0"/>
    </w:p>
    <w:sectPr w:rsidR="00C53FA3" w:rsidRPr="006B3CA5" w:rsidSect="00AA4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1135" w:right="1133" w:bottom="993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836F" w14:textId="77777777" w:rsidR="003529C3" w:rsidRDefault="003529C3" w:rsidP="00C53FA3">
      <w:r>
        <w:separator/>
      </w:r>
    </w:p>
  </w:endnote>
  <w:endnote w:type="continuationSeparator" w:id="0">
    <w:p w14:paraId="32D41067" w14:textId="77777777" w:rsidR="003529C3" w:rsidRDefault="003529C3" w:rsidP="00C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태명조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F568" w14:textId="77777777" w:rsidR="00C53FA3" w:rsidRDefault="00C53F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09BE" w14:textId="77777777" w:rsidR="00C53FA3" w:rsidRDefault="00C53F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442C" w14:textId="77777777" w:rsidR="00C53FA3" w:rsidRDefault="00C53F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EC144" w14:textId="77777777" w:rsidR="003529C3" w:rsidRDefault="003529C3" w:rsidP="00C53FA3">
      <w:r>
        <w:separator/>
      </w:r>
    </w:p>
  </w:footnote>
  <w:footnote w:type="continuationSeparator" w:id="0">
    <w:p w14:paraId="68FB74EB" w14:textId="77777777" w:rsidR="003529C3" w:rsidRDefault="003529C3" w:rsidP="00C5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1A50" w14:textId="77777777" w:rsidR="00C53FA3" w:rsidRDefault="00C53F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5CB7D" w14:textId="77777777" w:rsidR="00C53FA3" w:rsidRDefault="00C53F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56BD" w14:textId="77777777" w:rsidR="00C53FA3" w:rsidRDefault="00C53F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53D"/>
    <w:multiLevelType w:val="multilevel"/>
    <w:tmpl w:val="E5CEB03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E0C8B"/>
    <w:multiLevelType w:val="multilevel"/>
    <w:tmpl w:val="DBB65C6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90D1C"/>
    <w:multiLevelType w:val="multilevel"/>
    <w:tmpl w:val="1CCE541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91D"/>
    <w:rsid w:val="00097653"/>
    <w:rsid w:val="00257975"/>
    <w:rsid w:val="003529C3"/>
    <w:rsid w:val="003C091D"/>
    <w:rsid w:val="004F2ED5"/>
    <w:rsid w:val="00526208"/>
    <w:rsid w:val="0056482D"/>
    <w:rsid w:val="00677352"/>
    <w:rsid w:val="006B3CA5"/>
    <w:rsid w:val="00806344"/>
    <w:rsid w:val="00AA437A"/>
    <w:rsid w:val="00C05695"/>
    <w:rsid w:val="00C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98EF"/>
  <w15:docId w15:val="{6E494B14-E0BD-4B0C-8097-62122730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SimSun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SimSun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SimSun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SimSun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SimSun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SimSun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SimSun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SimSun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SimSun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SimSun" w:hAnsi="Arial Unicode MS" w:cs="함초롬돋움"/>
      <w:color w:val="000000"/>
      <w:sz w:val="22"/>
    </w:rPr>
  </w:style>
  <w:style w:type="character" w:customStyle="1" w:styleId="12">
    <w:name w:val="캡션1"/>
    <w:qFormat/>
    <w:rPr>
      <w:rFonts w:ascii="함초롬바탕" w:eastAsia="SimSun" w:hAnsi="Arial Unicode MS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xl316">
    <w:name w:val="xl316"/>
    <w:qFormat/>
    <w:pPr>
      <w:widowControl w:val="0"/>
      <w:autoSpaceDE w:val="0"/>
      <w:autoSpaceDN w:val="0"/>
      <w:jc w:val="right"/>
      <w:textAlignment w:val="center"/>
    </w:pPr>
    <w:rPr>
      <w:rFonts w:ascii="맑은 고딕" w:eastAsia="SimSun" w:hAnsi="Arial Unicode MS" w:cs="맑은 고딕"/>
      <w:color w:val="000000"/>
      <w:sz w:val="24"/>
      <w:szCs w:val="24"/>
    </w:rPr>
  </w:style>
  <w:style w:type="paragraph" w:customStyle="1" w:styleId="xl318">
    <w:name w:val="xl318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SimSun" w:hAnsi="Arial Unicode MS" w:cs="맑은 고딕"/>
      <w:color w:val="000000"/>
      <w:sz w:val="24"/>
      <w:szCs w:val="24"/>
    </w:rPr>
  </w:style>
  <w:style w:type="paragraph" w:customStyle="1" w:styleId="21">
    <w:name w:val="2포인트"/>
    <w:qFormat/>
    <w:pPr>
      <w:widowControl w:val="0"/>
      <w:autoSpaceDE w:val="0"/>
      <w:autoSpaceDN w:val="0"/>
      <w:snapToGrid w:val="0"/>
      <w:spacing w:line="249" w:lineRule="auto"/>
    </w:pPr>
    <w:rPr>
      <w:rFonts w:ascii="신명 태명조" w:eastAsia="SimSun" w:hAnsi="Arial Unicode MS" w:cs="신명 태명조"/>
      <w:color w:val="000000"/>
      <w:w w:val="95"/>
      <w:sz w:val="4"/>
      <w:szCs w:val="4"/>
    </w:rPr>
  </w:style>
  <w:style w:type="paragraph" w:customStyle="1" w:styleId="xl65">
    <w:name w:val="xl65"/>
    <w:qFormat/>
    <w:pPr>
      <w:widowControl w:val="0"/>
      <w:autoSpaceDE w:val="0"/>
      <w:autoSpaceDN w:val="0"/>
      <w:textAlignment w:val="center"/>
    </w:pPr>
    <w:rPr>
      <w:rFonts w:ascii="맑은 고딕" w:eastAsia="SimSun" w:hAnsi="Arial Unicode MS" w:cs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ur.go.kr/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SimSun"/>
        <a:cs typeface=""/>
      </a:majorFont>
      <a:minorFont>
        <a:latin typeface="맑은 고딕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코로나19 발병 이후 출입국 동향 </dc:title>
  <dc:creator>서울관광재단</dc:creator>
  <cp:lastModifiedBy>sus4_chujy</cp:lastModifiedBy>
  <cp:revision>12</cp:revision>
  <dcterms:created xsi:type="dcterms:W3CDTF">2023-04-14T01:27:00Z</dcterms:created>
  <dcterms:modified xsi:type="dcterms:W3CDTF">2023-06-07T06:25:00Z</dcterms:modified>
</cp:coreProperties>
</file>